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85C5" w14:textId="24628499" w:rsidR="00EE0D88" w:rsidRPr="009471AE" w:rsidRDefault="005837B1" w:rsidP="00493CBA">
      <w:pPr>
        <w:tabs>
          <w:tab w:val="clear" w:pos="284"/>
        </w:tabs>
        <w:spacing w:line="240" w:lineRule="auto"/>
        <w:jc w:val="left"/>
        <w:rPr>
          <w:b/>
          <w:noProof/>
          <w:szCs w:val="20"/>
          <w:lang w:val="en-US"/>
        </w:rPr>
      </w:pPr>
      <w:r w:rsidRPr="009471AE">
        <w:rPr>
          <w:b/>
          <w:noProof/>
          <w:szCs w:val="20"/>
          <w:lang w:val="en-US"/>
        </w:rPr>
        <w:t>Innovative finance</w:t>
      </w:r>
    </w:p>
    <w:p w14:paraId="188D239D" w14:textId="3B0BA372" w:rsidR="00493CBA" w:rsidRPr="009471AE" w:rsidRDefault="00493CBA" w:rsidP="00493CBA">
      <w:pPr>
        <w:tabs>
          <w:tab w:val="clear" w:pos="284"/>
        </w:tabs>
        <w:spacing w:line="240" w:lineRule="auto"/>
        <w:jc w:val="left"/>
        <w:rPr>
          <w:rFonts w:eastAsiaTheme="minorHAnsi"/>
          <w:color w:val="000000"/>
          <w:szCs w:val="20"/>
          <w:lang w:val="en-US"/>
        </w:rPr>
      </w:pPr>
      <w:r w:rsidRPr="009471AE">
        <w:rPr>
          <w:rFonts w:eastAsiaTheme="minorHAnsi"/>
          <w:color w:val="000000"/>
          <w:szCs w:val="20"/>
          <w:lang w:val="en-US"/>
        </w:rPr>
        <w:t>Professor Matteo Cotugno</w:t>
      </w:r>
    </w:p>
    <w:p w14:paraId="799C0836" w14:textId="77777777" w:rsidR="00493CBA" w:rsidRPr="00493CBA" w:rsidRDefault="00493CBA" w:rsidP="00493CBA">
      <w:pPr>
        <w:tabs>
          <w:tab w:val="clear" w:pos="284"/>
        </w:tabs>
        <w:spacing w:line="240" w:lineRule="auto"/>
        <w:jc w:val="left"/>
        <w:rPr>
          <w:rFonts w:eastAsiaTheme="minorHAnsi"/>
          <w:b/>
          <w:color w:val="000000"/>
          <w:sz w:val="24"/>
          <w:lang w:val="en-US"/>
        </w:rPr>
      </w:pPr>
    </w:p>
    <w:p w14:paraId="74B4384D" w14:textId="77777777" w:rsidR="00493CBA" w:rsidRPr="0066379C" w:rsidRDefault="00493CBA" w:rsidP="00493CBA">
      <w:pPr>
        <w:tabs>
          <w:tab w:val="clear" w:pos="284"/>
        </w:tabs>
        <w:spacing w:line="240" w:lineRule="auto"/>
        <w:jc w:val="left"/>
        <w:rPr>
          <w:b/>
          <w:i/>
          <w:szCs w:val="20"/>
          <w:lang w:val="en-US"/>
        </w:rPr>
      </w:pPr>
    </w:p>
    <w:p w14:paraId="387CA62E" w14:textId="77777777" w:rsidR="00493CBA" w:rsidRPr="0066379C" w:rsidRDefault="00493CBA" w:rsidP="00493CBA">
      <w:pPr>
        <w:tabs>
          <w:tab w:val="clear" w:pos="284"/>
        </w:tabs>
        <w:spacing w:line="240" w:lineRule="auto"/>
        <w:jc w:val="left"/>
        <w:rPr>
          <w:rFonts w:eastAsiaTheme="minorHAnsi"/>
          <w:b/>
          <w:color w:val="000000"/>
          <w:szCs w:val="20"/>
          <w:lang w:val="en-US"/>
        </w:rPr>
      </w:pPr>
      <w:r w:rsidRPr="0066379C">
        <w:rPr>
          <w:b/>
          <w:i/>
          <w:szCs w:val="20"/>
          <w:lang w:val="en-US"/>
        </w:rPr>
        <w:t>COURSE AIMS AND INTENDED LEARNING OUTCOMES</w:t>
      </w:r>
      <w:r w:rsidRPr="0066379C">
        <w:rPr>
          <w:rFonts w:eastAsiaTheme="minorHAnsi"/>
          <w:b/>
          <w:color w:val="000000"/>
          <w:szCs w:val="20"/>
          <w:lang w:val="en-US"/>
        </w:rPr>
        <w:t xml:space="preserve"> </w:t>
      </w:r>
    </w:p>
    <w:p w14:paraId="5DDFF1B8" w14:textId="70C81ECE" w:rsidR="005837B1" w:rsidRPr="0066379C" w:rsidRDefault="005837B1" w:rsidP="005837B1">
      <w:pPr>
        <w:tabs>
          <w:tab w:val="clear" w:pos="284"/>
        </w:tabs>
        <w:spacing w:line="240" w:lineRule="auto"/>
        <w:rPr>
          <w:rFonts w:eastAsiaTheme="minorHAnsi"/>
          <w:color w:val="000000"/>
          <w:szCs w:val="20"/>
          <w:lang w:val="en-US"/>
        </w:rPr>
      </w:pPr>
      <w:r w:rsidRPr="0066379C">
        <w:rPr>
          <w:rFonts w:eastAsiaTheme="minorHAnsi"/>
          <w:color w:val="000000"/>
          <w:szCs w:val="20"/>
          <w:lang w:val="en-US"/>
        </w:rPr>
        <w:t>The course illustrates the venture capital and private equity investors approach for financing entrepreneurial activity in the various phases of the firm life cycle (seed financing, early growth financing, expansion financing, buy-out financing, turnaround financing) and investment banks in times of business turnaround.</w:t>
      </w:r>
    </w:p>
    <w:p w14:paraId="73490020" w14:textId="330AFF36" w:rsidR="005837B1" w:rsidRPr="0066379C" w:rsidRDefault="005837B1" w:rsidP="005837B1">
      <w:pPr>
        <w:tabs>
          <w:tab w:val="clear" w:pos="284"/>
        </w:tabs>
        <w:spacing w:line="240" w:lineRule="auto"/>
        <w:rPr>
          <w:rFonts w:eastAsiaTheme="minorHAnsi"/>
          <w:color w:val="000000"/>
          <w:szCs w:val="20"/>
          <w:lang w:val="en-US"/>
        </w:rPr>
      </w:pPr>
      <w:r w:rsidRPr="0066379C">
        <w:rPr>
          <w:rFonts w:eastAsiaTheme="minorHAnsi"/>
          <w:color w:val="000000"/>
          <w:szCs w:val="20"/>
          <w:lang w:val="en-US"/>
        </w:rPr>
        <w:t xml:space="preserve">The study of investment banks approach and the typical technicalities of equity finance represent the focus of the teaching, with emphasis on modeling </w:t>
      </w:r>
      <w:proofErr w:type="gramStart"/>
      <w:r w:rsidRPr="0066379C">
        <w:rPr>
          <w:rFonts w:eastAsiaTheme="minorHAnsi"/>
          <w:color w:val="000000"/>
          <w:szCs w:val="20"/>
          <w:lang w:val="en-US"/>
        </w:rPr>
        <w:t>through the use of</w:t>
      </w:r>
      <w:proofErr w:type="gramEnd"/>
      <w:r w:rsidRPr="0066379C">
        <w:rPr>
          <w:rFonts w:eastAsiaTheme="minorHAnsi"/>
          <w:color w:val="000000"/>
          <w:szCs w:val="20"/>
          <w:lang w:val="en-US"/>
        </w:rPr>
        <w:t xml:space="preserve"> the spreadsheet of business valuation methodology.</w:t>
      </w:r>
    </w:p>
    <w:p w14:paraId="5296B520" w14:textId="77777777" w:rsidR="005837B1" w:rsidRPr="0066379C" w:rsidRDefault="005837B1" w:rsidP="005837B1">
      <w:pPr>
        <w:tabs>
          <w:tab w:val="clear" w:pos="284"/>
        </w:tabs>
        <w:spacing w:line="240" w:lineRule="auto"/>
        <w:rPr>
          <w:rFonts w:eastAsiaTheme="minorHAnsi"/>
          <w:color w:val="000000"/>
          <w:szCs w:val="20"/>
          <w:lang w:val="en-US"/>
        </w:rPr>
      </w:pPr>
    </w:p>
    <w:p w14:paraId="7AAF5CDF" w14:textId="77777777" w:rsidR="005837B1" w:rsidRPr="0066379C" w:rsidRDefault="005837B1" w:rsidP="005837B1">
      <w:pPr>
        <w:tabs>
          <w:tab w:val="clear" w:pos="284"/>
        </w:tabs>
        <w:spacing w:line="240" w:lineRule="auto"/>
        <w:rPr>
          <w:rFonts w:eastAsiaTheme="minorHAnsi"/>
          <w:color w:val="000000"/>
          <w:szCs w:val="20"/>
          <w:lang w:val="en-US"/>
        </w:rPr>
      </w:pPr>
      <w:r w:rsidRPr="0066379C">
        <w:rPr>
          <w:rFonts w:eastAsiaTheme="minorHAnsi"/>
          <w:color w:val="000000"/>
          <w:szCs w:val="20"/>
          <w:lang w:val="en-US"/>
        </w:rPr>
        <w:t>At the end of the course the student will be able to:</w:t>
      </w:r>
    </w:p>
    <w:p w14:paraId="348AC575" w14:textId="2B2DEA63" w:rsidR="005837B1" w:rsidRPr="0066379C" w:rsidRDefault="005837B1" w:rsidP="005837B1">
      <w:pPr>
        <w:tabs>
          <w:tab w:val="clear" w:pos="284"/>
        </w:tabs>
        <w:spacing w:line="240" w:lineRule="auto"/>
        <w:rPr>
          <w:rFonts w:eastAsiaTheme="minorHAnsi"/>
          <w:color w:val="000000"/>
          <w:szCs w:val="20"/>
          <w:lang w:val="en-US"/>
        </w:rPr>
      </w:pPr>
      <w:r w:rsidRPr="0066379C">
        <w:rPr>
          <w:rFonts w:eastAsiaTheme="minorHAnsi"/>
          <w:color w:val="000000"/>
          <w:szCs w:val="20"/>
          <w:lang w:val="en-US"/>
        </w:rPr>
        <w:t>• Discuss venture capital and private equity investors approach</w:t>
      </w:r>
    </w:p>
    <w:p w14:paraId="4AC5E974" w14:textId="3B339969" w:rsidR="005837B1" w:rsidRPr="0066379C" w:rsidRDefault="005837B1" w:rsidP="005837B1">
      <w:pPr>
        <w:tabs>
          <w:tab w:val="clear" w:pos="284"/>
        </w:tabs>
        <w:spacing w:line="240" w:lineRule="auto"/>
        <w:rPr>
          <w:rFonts w:eastAsiaTheme="minorHAnsi"/>
          <w:color w:val="000000"/>
          <w:szCs w:val="20"/>
          <w:lang w:val="en-US"/>
        </w:rPr>
      </w:pPr>
      <w:r w:rsidRPr="0066379C">
        <w:rPr>
          <w:rFonts w:eastAsiaTheme="minorHAnsi"/>
          <w:color w:val="000000"/>
          <w:szCs w:val="20"/>
          <w:lang w:val="en-US"/>
        </w:rPr>
        <w:t>• Evaluate a</w:t>
      </w:r>
      <w:r w:rsidR="006566AD" w:rsidRPr="0066379C">
        <w:rPr>
          <w:rFonts w:eastAsiaTheme="minorHAnsi"/>
          <w:color w:val="000000"/>
          <w:szCs w:val="20"/>
          <w:lang w:val="en-US"/>
        </w:rPr>
        <w:t>n</w:t>
      </w:r>
      <w:r w:rsidRPr="0066379C">
        <w:rPr>
          <w:rFonts w:eastAsiaTheme="minorHAnsi"/>
          <w:color w:val="000000"/>
          <w:szCs w:val="20"/>
          <w:lang w:val="en-US"/>
        </w:rPr>
        <w:t xml:space="preserve"> equity stake in a </w:t>
      </w:r>
      <w:proofErr w:type="gramStart"/>
      <w:r w:rsidRPr="0066379C">
        <w:rPr>
          <w:rFonts w:eastAsiaTheme="minorHAnsi"/>
          <w:color w:val="000000"/>
          <w:szCs w:val="20"/>
          <w:lang w:val="en-US"/>
        </w:rPr>
        <w:t>company;</w:t>
      </w:r>
      <w:proofErr w:type="gramEnd"/>
    </w:p>
    <w:p w14:paraId="324F737D" w14:textId="2599D9B7" w:rsidR="00821D8D" w:rsidRPr="0066379C" w:rsidRDefault="005837B1" w:rsidP="005837B1">
      <w:pPr>
        <w:tabs>
          <w:tab w:val="clear" w:pos="284"/>
        </w:tabs>
        <w:spacing w:line="240" w:lineRule="auto"/>
        <w:rPr>
          <w:rFonts w:eastAsiaTheme="minorHAnsi"/>
          <w:color w:val="000000"/>
          <w:szCs w:val="20"/>
          <w:lang w:val="en-US"/>
        </w:rPr>
      </w:pPr>
      <w:r w:rsidRPr="0066379C">
        <w:rPr>
          <w:rFonts w:eastAsiaTheme="minorHAnsi"/>
          <w:color w:val="000000"/>
          <w:szCs w:val="20"/>
          <w:lang w:val="en-US"/>
        </w:rPr>
        <w:t>• Understand the other activities typically carried out by an investment bank</w:t>
      </w:r>
    </w:p>
    <w:p w14:paraId="1A41FB67" w14:textId="77777777" w:rsidR="005837B1" w:rsidRPr="0066379C" w:rsidRDefault="005837B1" w:rsidP="005837B1">
      <w:pPr>
        <w:tabs>
          <w:tab w:val="clear" w:pos="284"/>
        </w:tabs>
        <w:spacing w:line="240" w:lineRule="auto"/>
        <w:rPr>
          <w:rFonts w:eastAsiaTheme="minorHAnsi"/>
          <w:color w:val="000000"/>
          <w:szCs w:val="20"/>
          <w:lang w:val="en-US"/>
        </w:rPr>
      </w:pPr>
    </w:p>
    <w:p w14:paraId="0BD57AC5" w14:textId="7FD277CF" w:rsidR="00493CBA" w:rsidRPr="0066379C" w:rsidRDefault="00493CBA" w:rsidP="00493CBA">
      <w:pPr>
        <w:tabs>
          <w:tab w:val="clear" w:pos="284"/>
        </w:tabs>
        <w:spacing w:line="240" w:lineRule="auto"/>
        <w:rPr>
          <w:rFonts w:eastAsiaTheme="minorHAnsi"/>
          <w:color w:val="000000"/>
          <w:szCs w:val="20"/>
          <w:lang w:val="en-US"/>
        </w:rPr>
      </w:pPr>
      <w:r w:rsidRPr="0066379C">
        <w:rPr>
          <w:b/>
          <w:i/>
          <w:szCs w:val="20"/>
          <w:lang w:val="en-US"/>
        </w:rPr>
        <w:t>COURSE CONTENT</w:t>
      </w:r>
    </w:p>
    <w:p w14:paraId="0F1CB136" w14:textId="77777777" w:rsidR="005837B1" w:rsidRPr="0066379C" w:rsidRDefault="005837B1" w:rsidP="005837B1">
      <w:pPr>
        <w:numPr>
          <w:ilvl w:val="0"/>
          <w:numId w:val="7"/>
        </w:numPr>
        <w:tabs>
          <w:tab w:val="clear" w:pos="284"/>
          <w:tab w:val="clear" w:pos="1144"/>
          <w:tab w:val="num" w:pos="851"/>
        </w:tabs>
        <w:autoSpaceDE w:val="0"/>
        <w:autoSpaceDN w:val="0"/>
        <w:adjustRightInd w:val="0"/>
        <w:spacing w:line="240" w:lineRule="auto"/>
        <w:ind w:left="426"/>
        <w:jc w:val="left"/>
        <w:rPr>
          <w:bCs/>
          <w:iCs/>
          <w:szCs w:val="20"/>
          <w:lang w:val="en-US"/>
        </w:rPr>
      </w:pPr>
      <w:r w:rsidRPr="0066379C">
        <w:rPr>
          <w:bCs/>
          <w:iCs/>
          <w:szCs w:val="20"/>
          <w:lang w:val="en-US"/>
        </w:rPr>
        <w:t>Corporate and investment banking</w:t>
      </w:r>
    </w:p>
    <w:p w14:paraId="5AC721FB" w14:textId="60244D61" w:rsidR="005837B1" w:rsidRPr="0066379C" w:rsidRDefault="0004321F" w:rsidP="005837B1">
      <w:pPr>
        <w:numPr>
          <w:ilvl w:val="0"/>
          <w:numId w:val="7"/>
        </w:numPr>
        <w:tabs>
          <w:tab w:val="clear" w:pos="284"/>
          <w:tab w:val="clear" w:pos="1144"/>
          <w:tab w:val="num" w:pos="851"/>
        </w:tabs>
        <w:autoSpaceDE w:val="0"/>
        <w:autoSpaceDN w:val="0"/>
        <w:adjustRightInd w:val="0"/>
        <w:spacing w:line="240" w:lineRule="auto"/>
        <w:ind w:left="426"/>
        <w:jc w:val="left"/>
        <w:rPr>
          <w:bCs/>
          <w:iCs/>
          <w:szCs w:val="20"/>
          <w:lang w:val="en-US"/>
        </w:rPr>
      </w:pPr>
      <w:r w:rsidRPr="0066379C">
        <w:rPr>
          <w:bCs/>
          <w:iCs/>
          <w:szCs w:val="20"/>
          <w:lang w:val="en-US"/>
        </w:rPr>
        <w:t>Company</w:t>
      </w:r>
      <w:r w:rsidR="005837B1" w:rsidRPr="0066379C">
        <w:rPr>
          <w:bCs/>
          <w:iCs/>
          <w:szCs w:val="20"/>
          <w:lang w:val="en-US"/>
        </w:rPr>
        <w:t xml:space="preserve"> evaluation</w:t>
      </w:r>
    </w:p>
    <w:p w14:paraId="6BB97C85" w14:textId="294E2FA9" w:rsidR="0004321F" w:rsidRPr="0066379C" w:rsidRDefault="0004321F" w:rsidP="005837B1">
      <w:pPr>
        <w:numPr>
          <w:ilvl w:val="0"/>
          <w:numId w:val="7"/>
        </w:numPr>
        <w:tabs>
          <w:tab w:val="clear" w:pos="284"/>
          <w:tab w:val="clear" w:pos="1144"/>
          <w:tab w:val="num" w:pos="851"/>
        </w:tabs>
        <w:autoSpaceDE w:val="0"/>
        <w:autoSpaceDN w:val="0"/>
        <w:adjustRightInd w:val="0"/>
        <w:spacing w:line="240" w:lineRule="auto"/>
        <w:ind w:left="426"/>
        <w:jc w:val="left"/>
        <w:rPr>
          <w:bCs/>
          <w:iCs/>
          <w:szCs w:val="20"/>
          <w:lang w:val="en-US"/>
        </w:rPr>
      </w:pPr>
      <w:r w:rsidRPr="0066379C">
        <w:rPr>
          <w:bCs/>
          <w:iCs/>
          <w:szCs w:val="20"/>
          <w:lang w:val="en-US"/>
        </w:rPr>
        <w:t xml:space="preserve">Capital </w:t>
      </w:r>
      <w:proofErr w:type="gramStart"/>
      <w:r w:rsidRPr="0066379C">
        <w:rPr>
          <w:bCs/>
          <w:iCs/>
          <w:szCs w:val="20"/>
          <w:lang w:val="en-US"/>
        </w:rPr>
        <w:t>budgeting</w:t>
      </w:r>
      <w:proofErr w:type="gramEnd"/>
    </w:p>
    <w:p w14:paraId="246F9152" w14:textId="77777777" w:rsidR="005837B1" w:rsidRPr="0066379C" w:rsidRDefault="005837B1" w:rsidP="005837B1">
      <w:pPr>
        <w:numPr>
          <w:ilvl w:val="0"/>
          <w:numId w:val="7"/>
        </w:numPr>
        <w:tabs>
          <w:tab w:val="clear" w:pos="284"/>
          <w:tab w:val="clear" w:pos="1144"/>
          <w:tab w:val="num" w:pos="851"/>
        </w:tabs>
        <w:autoSpaceDE w:val="0"/>
        <w:autoSpaceDN w:val="0"/>
        <w:adjustRightInd w:val="0"/>
        <w:spacing w:line="240" w:lineRule="auto"/>
        <w:ind w:left="426"/>
        <w:jc w:val="left"/>
        <w:rPr>
          <w:bCs/>
          <w:iCs/>
          <w:szCs w:val="20"/>
          <w:lang w:val="en-US"/>
        </w:rPr>
      </w:pPr>
      <w:r w:rsidRPr="0066379C">
        <w:rPr>
          <w:bCs/>
          <w:iCs/>
          <w:szCs w:val="20"/>
          <w:lang w:val="en-US"/>
        </w:rPr>
        <w:t>Venture capital</w:t>
      </w:r>
    </w:p>
    <w:p w14:paraId="6726C948" w14:textId="77777777" w:rsidR="005837B1" w:rsidRPr="0066379C" w:rsidRDefault="005837B1" w:rsidP="005837B1">
      <w:pPr>
        <w:numPr>
          <w:ilvl w:val="0"/>
          <w:numId w:val="7"/>
        </w:numPr>
        <w:tabs>
          <w:tab w:val="clear" w:pos="284"/>
          <w:tab w:val="clear" w:pos="1144"/>
          <w:tab w:val="num" w:pos="851"/>
        </w:tabs>
        <w:autoSpaceDE w:val="0"/>
        <w:autoSpaceDN w:val="0"/>
        <w:adjustRightInd w:val="0"/>
        <w:spacing w:line="240" w:lineRule="auto"/>
        <w:ind w:left="426"/>
        <w:jc w:val="left"/>
        <w:rPr>
          <w:bCs/>
          <w:iCs/>
          <w:szCs w:val="20"/>
          <w:lang w:val="en-US"/>
        </w:rPr>
      </w:pPr>
      <w:r w:rsidRPr="0066379C">
        <w:rPr>
          <w:bCs/>
          <w:iCs/>
          <w:szCs w:val="20"/>
          <w:lang w:val="en-US"/>
        </w:rPr>
        <w:t>Private equity</w:t>
      </w:r>
    </w:p>
    <w:p w14:paraId="117FAF01" w14:textId="77777777" w:rsidR="005837B1" w:rsidRPr="0066379C" w:rsidRDefault="005837B1" w:rsidP="005837B1">
      <w:pPr>
        <w:numPr>
          <w:ilvl w:val="0"/>
          <w:numId w:val="7"/>
        </w:numPr>
        <w:tabs>
          <w:tab w:val="clear" w:pos="284"/>
          <w:tab w:val="clear" w:pos="1144"/>
          <w:tab w:val="num" w:pos="851"/>
        </w:tabs>
        <w:autoSpaceDE w:val="0"/>
        <w:autoSpaceDN w:val="0"/>
        <w:adjustRightInd w:val="0"/>
        <w:spacing w:line="240" w:lineRule="auto"/>
        <w:ind w:left="426"/>
        <w:jc w:val="left"/>
        <w:rPr>
          <w:bCs/>
          <w:iCs/>
          <w:szCs w:val="20"/>
          <w:lang w:val="en-US"/>
        </w:rPr>
      </w:pPr>
      <w:r w:rsidRPr="0066379C">
        <w:rPr>
          <w:bCs/>
          <w:iCs/>
          <w:szCs w:val="20"/>
          <w:lang w:val="en-US"/>
        </w:rPr>
        <w:t>Mezzanine finance</w:t>
      </w:r>
    </w:p>
    <w:p w14:paraId="6A6962DF" w14:textId="77777777" w:rsidR="005837B1" w:rsidRPr="0066379C" w:rsidRDefault="005837B1" w:rsidP="005837B1">
      <w:pPr>
        <w:numPr>
          <w:ilvl w:val="0"/>
          <w:numId w:val="7"/>
        </w:numPr>
        <w:tabs>
          <w:tab w:val="clear" w:pos="284"/>
          <w:tab w:val="clear" w:pos="1144"/>
          <w:tab w:val="num" w:pos="851"/>
        </w:tabs>
        <w:autoSpaceDE w:val="0"/>
        <w:autoSpaceDN w:val="0"/>
        <w:adjustRightInd w:val="0"/>
        <w:spacing w:line="240" w:lineRule="auto"/>
        <w:ind w:left="426"/>
        <w:jc w:val="left"/>
        <w:rPr>
          <w:bCs/>
          <w:iCs/>
          <w:szCs w:val="20"/>
          <w:lang w:val="en-US"/>
        </w:rPr>
      </w:pPr>
      <w:r w:rsidRPr="0066379C">
        <w:rPr>
          <w:bCs/>
          <w:iCs/>
          <w:szCs w:val="20"/>
          <w:lang w:val="en-US"/>
        </w:rPr>
        <w:t>The leveraged buy-out</w:t>
      </w:r>
    </w:p>
    <w:p w14:paraId="6802F6FA" w14:textId="77777777" w:rsidR="005837B1" w:rsidRPr="0066379C" w:rsidRDefault="005837B1" w:rsidP="005837B1">
      <w:pPr>
        <w:numPr>
          <w:ilvl w:val="0"/>
          <w:numId w:val="7"/>
        </w:numPr>
        <w:tabs>
          <w:tab w:val="clear" w:pos="284"/>
          <w:tab w:val="clear" w:pos="1144"/>
          <w:tab w:val="num" w:pos="851"/>
        </w:tabs>
        <w:autoSpaceDE w:val="0"/>
        <w:autoSpaceDN w:val="0"/>
        <w:adjustRightInd w:val="0"/>
        <w:spacing w:line="240" w:lineRule="auto"/>
        <w:ind w:left="426"/>
        <w:jc w:val="left"/>
        <w:rPr>
          <w:bCs/>
          <w:iCs/>
          <w:szCs w:val="20"/>
          <w:lang w:val="en-US"/>
        </w:rPr>
      </w:pPr>
      <w:r w:rsidRPr="0066379C">
        <w:rPr>
          <w:bCs/>
          <w:iCs/>
          <w:szCs w:val="20"/>
          <w:lang w:val="en-US"/>
        </w:rPr>
        <w:t>Medium-term financial instruments</w:t>
      </w:r>
    </w:p>
    <w:p w14:paraId="32B27D18" w14:textId="77777777" w:rsidR="00D86AEB" w:rsidRPr="0066379C" w:rsidRDefault="00D86AEB" w:rsidP="00D86AEB">
      <w:pPr>
        <w:tabs>
          <w:tab w:val="clear" w:pos="284"/>
        </w:tabs>
        <w:spacing w:line="240" w:lineRule="auto"/>
        <w:rPr>
          <w:rFonts w:eastAsiaTheme="minorHAnsi"/>
          <w:color w:val="000000"/>
          <w:szCs w:val="20"/>
          <w:lang w:val="en-US"/>
        </w:rPr>
      </w:pPr>
    </w:p>
    <w:p w14:paraId="0475DA4A" w14:textId="77777777" w:rsidR="00D86AEB" w:rsidRPr="0066379C" w:rsidRDefault="00D86AEB" w:rsidP="00D86AEB">
      <w:pPr>
        <w:tabs>
          <w:tab w:val="clear" w:pos="284"/>
        </w:tabs>
        <w:spacing w:line="240" w:lineRule="auto"/>
        <w:rPr>
          <w:rFonts w:eastAsiaTheme="minorHAnsi"/>
          <w:color w:val="000000"/>
          <w:szCs w:val="20"/>
          <w:lang w:val="en-US"/>
        </w:rPr>
      </w:pPr>
    </w:p>
    <w:p w14:paraId="04D62810" w14:textId="77777777" w:rsidR="00493CBA" w:rsidRPr="0066379C" w:rsidRDefault="00493CBA" w:rsidP="00493CBA">
      <w:pPr>
        <w:tabs>
          <w:tab w:val="clear" w:pos="284"/>
        </w:tabs>
        <w:spacing w:line="240" w:lineRule="auto"/>
        <w:rPr>
          <w:rFonts w:eastAsiaTheme="minorHAnsi"/>
          <w:color w:val="000000"/>
          <w:szCs w:val="20"/>
          <w:lang w:val="en-US"/>
        </w:rPr>
      </w:pPr>
      <w:r w:rsidRPr="0066379C">
        <w:rPr>
          <w:b/>
          <w:i/>
          <w:szCs w:val="20"/>
          <w:lang w:val="en-US"/>
        </w:rPr>
        <w:t>READING LIST</w:t>
      </w:r>
      <w:r w:rsidRPr="0066379C">
        <w:rPr>
          <w:rFonts w:eastAsiaTheme="minorHAnsi"/>
          <w:color w:val="000000"/>
          <w:szCs w:val="20"/>
          <w:lang w:val="en-US"/>
        </w:rPr>
        <w:t xml:space="preserve"> </w:t>
      </w:r>
    </w:p>
    <w:p w14:paraId="59D3A8D5" w14:textId="77777777" w:rsidR="005837B1" w:rsidRPr="0066379C" w:rsidRDefault="005837B1" w:rsidP="005837B1">
      <w:pPr>
        <w:pStyle w:val="Testo1"/>
        <w:rPr>
          <w:rFonts w:ascii="Times New Roman" w:hAnsi="Times New Roman"/>
          <w:sz w:val="20"/>
        </w:rPr>
      </w:pPr>
      <w:r w:rsidRPr="0066379C">
        <w:rPr>
          <w:rFonts w:ascii="Times New Roman" w:hAnsi="Times New Roman"/>
          <w:smallCaps/>
          <w:sz w:val="20"/>
        </w:rPr>
        <w:t xml:space="preserve">Monferra’ S., Cotugno M., Mazzu’ S., </w:t>
      </w:r>
      <w:r w:rsidRPr="0066379C">
        <w:rPr>
          <w:rFonts w:ascii="Times New Roman" w:hAnsi="Times New Roman"/>
          <w:i/>
          <w:sz w:val="20"/>
        </w:rPr>
        <w:t>Corporate &amp; Investmnet Banking</w:t>
      </w:r>
      <w:r w:rsidRPr="0066379C">
        <w:rPr>
          <w:rFonts w:ascii="Times New Roman" w:hAnsi="Times New Roman"/>
          <w:sz w:val="20"/>
        </w:rPr>
        <w:t>, 2017, FrancoAngeli.</w:t>
      </w:r>
    </w:p>
    <w:p w14:paraId="18B3D7C0" w14:textId="77777777" w:rsidR="00493CBA" w:rsidRPr="0066379C" w:rsidRDefault="00493CBA" w:rsidP="00493CBA">
      <w:pPr>
        <w:tabs>
          <w:tab w:val="clear" w:pos="284"/>
        </w:tabs>
        <w:spacing w:line="240" w:lineRule="auto"/>
        <w:rPr>
          <w:rFonts w:eastAsiaTheme="minorHAnsi"/>
          <w:color w:val="000000"/>
          <w:szCs w:val="20"/>
        </w:rPr>
      </w:pPr>
    </w:p>
    <w:p w14:paraId="4668AEC0" w14:textId="5257633F" w:rsidR="00493CBA" w:rsidRPr="0066379C" w:rsidRDefault="00493CBA" w:rsidP="00493CBA">
      <w:pPr>
        <w:tabs>
          <w:tab w:val="clear" w:pos="284"/>
        </w:tabs>
        <w:spacing w:line="240" w:lineRule="auto"/>
        <w:rPr>
          <w:rFonts w:eastAsiaTheme="minorHAnsi"/>
          <w:color w:val="000000"/>
          <w:szCs w:val="20"/>
          <w:lang w:val="en-US"/>
        </w:rPr>
      </w:pPr>
      <w:r w:rsidRPr="0066379C">
        <w:rPr>
          <w:rFonts w:eastAsiaTheme="minorHAnsi"/>
          <w:color w:val="000000"/>
          <w:szCs w:val="20"/>
          <w:lang w:val="en-US"/>
        </w:rPr>
        <w:t>The parts of the textbook necessary for the preparation of the exam will be indicated on the blackboard platform and on the professor's webpage. The teaching material used during the lessons will be made available on the blackboard platform.</w:t>
      </w:r>
    </w:p>
    <w:p w14:paraId="7D8752F5" w14:textId="77777777" w:rsidR="00493CBA" w:rsidRPr="0066379C" w:rsidRDefault="00493CBA" w:rsidP="00493CBA">
      <w:pPr>
        <w:tabs>
          <w:tab w:val="clear" w:pos="284"/>
        </w:tabs>
        <w:spacing w:line="240" w:lineRule="auto"/>
        <w:rPr>
          <w:rFonts w:eastAsiaTheme="minorHAnsi"/>
          <w:color w:val="000000"/>
          <w:szCs w:val="20"/>
          <w:lang w:val="en-US"/>
        </w:rPr>
      </w:pPr>
    </w:p>
    <w:p w14:paraId="3904D8F6" w14:textId="77777777" w:rsidR="00493CBA" w:rsidRPr="0066379C" w:rsidRDefault="00493CBA" w:rsidP="00493CBA">
      <w:pPr>
        <w:tabs>
          <w:tab w:val="clear" w:pos="284"/>
        </w:tabs>
        <w:spacing w:line="240" w:lineRule="auto"/>
        <w:rPr>
          <w:rFonts w:eastAsiaTheme="minorHAnsi"/>
          <w:b/>
          <w:i/>
          <w:color w:val="000000"/>
          <w:szCs w:val="20"/>
          <w:lang w:val="en-US"/>
        </w:rPr>
      </w:pPr>
      <w:r w:rsidRPr="0066379C">
        <w:rPr>
          <w:rFonts w:eastAsiaTheme="minorHAnsi"/>
          <w:b/>
          <w:i/>
          <w:color w:val="000000"/>
          <w:szCs w:val="20"/>
          <w:lang w:val="en-US"/>
        </w:rPr>
        <w:t>TEACHING METHOD</w:t>
      </w:r>
    </w:p>
    <w:p w14:paraId="0A042DB6" w14:textId="05FBF829" w:rsidR="00493CBA" w:rsidRPr="0066379C" w:rsidRDefault="00493CBA" w:rsidP="00493CBA">
      <w:pPr>
        <w:tabs>
          <w:tab w:val="clear" w:pos="284"/>
        </w:tabs>
        <w:spacing w:line="240" w:lineRule="auto"/>
        <w:rPr>
          <w:rFonts w:eastAsiaTheme="minorHAnsi"/>
          <w:color w:val="000000"/>
          <w:szCs w:val="20"/>
          <w:lang w:val="en-US"/>
        </w:rPr>
      </w:pPr>
      <w:r w:rsidRPr="0066379C">
        <w:rPr>
          <w:rFonts w:eastAsiaTheme="minorHAnsi"/>
          <w:color w:val="000000"/>
          <w:szCs w:val="20"/>
          <w:lang w:val="en-US"/>
        </w:rPr>
        <w:t xml:space="preserve">The course includes lectures and guided exercises focused on both theoretical and technical aspects of the </w:t>
      </w:r>
      <w:r w:rsidR="006566AD" w:rsidRPr="0066379C">
        <w:rPr>
          <w:rFonts w:eastAsiaTheme="minorHAnsi"/>
          <w:color w:val="000000"/>
          <w:szCs w:val="20"/>
          <w:lang w:val="en-US"/>
        </w:rPr>
        <w:t>topic</w:t>
      </w:r>
      <w:r w:rsidRPr="0066379C">
        <w:rPr>
          <w:rFonts w:eastAsiaTheme="minorHAnsi"/>
          <w:color w:val="000000"/>
          <w:szCs w:val="20"/>
          <w:lang w:val="en-US"/>
        </w:rPr>
        <w:t>.</w:t>
      </w:r>
    </w:p>
    <w:p w14:paraId="4B86707F" w14:textId="77777777" w:rsidR="00493CBA" w:rsidRPr="0066379C" w:rsidRDefault="00493CBA" w:rsidP="00493CBA">
      <w:pPr>
        <w:tabs>
          <w:tab w:val="clear" w:pos="284"/>
        </w:tabs>
        <w:spacing w:line="240" w:lineRule="auto"/>
        <w:rPr>
          <w:rFonts w:eastAsiaTheme="minorHAnsi"/>
          <w:color w:val="000000"/>
          <w:szCs w:val="20"/>
          <w:lang w:val="en-US"/>
        </w:rPr>
      </w:pPr>
    </w:p>
    <w:p w14:paraId="5D5A5883" w14:textId="77777777" w:rsidR="00493CBA" w:rsidRPr="0066379C" w:rsidRDefault="00493CBA" w:rsidP="00493CBA">
      <w:pPr>
        <w:tabs>
          <w:tab w:val="clear" w:pos="284"/>
        </w:tabs>
        <w:spacing w:line="240" w:lineRule="auto"/>
        <w:rPr>
          <w:rFonts w:eastAsiaTheme="minorHAnsi"/>
          <w:b/>
          <w:i/>
          <w:color w:val="000000"/>
          <w:szCs w:val="20"/>
          <w:lang w:val="en-US"/>
        </w:rPr>
      </w:pPr>
      <w:r w:rsidRPr="0066379C">
        <w:rPr>
          <w:rFonts w:eastAsiaTheme="minorHAnsi"/>
          <w:b/>
          <w:i/>
          <w:color w:val="000000"/>
          <w:szCs w:val="20"/>
          <w:lang w:val="en-US"/>
        </w:rPr>
        <w:t>ASSESSMENT METHOD AND CRITERIA</w:t>
      </w:r>
    </w:p>
    <w:p w14:paraId="6FEC04B5" w14:textId="77777777" w:rsidR="00BE1253" w:rsidRPr="0066379C" w:rsidRDefault="00BE1253" w:rsidP="00BE1253">
      <w:pPr>
        <w:tabs>
          <w:tab w:val="clear" w:pos="284"/>
        </w:tabs>
        <w:spacing w:line="240" w:lineRule="auto"/>
        <w:rPr>
          <w:rFonts w:eastAsiaTheme="minorHAnsi"/>
          <w:color w:val="000000"/>
          <w:szCs w:val="20"/>
          <w:lang w:val="en-US"/>
        </w:rPr>
      </w:pPr>
      <w:bookmarkStart w:id="0" w:name="_Hlk134980095"/>
      <w:r w:rsidRPr="0066379C">
        <w:rPr>
          <w:rFonts w:eastAsiaTheme="minorHAnsi"/>
          <w:color w:val="000000"/>
          <w:szCs w:val="20"/>
          <w:lang w:val="en-US"/>
        </w:rPr>
        <w:t xml:space="preserve">Learning assessment methodologies are different for students who decide to participate at business evaluation case and other students.  </w:t>
      </w:r>
    </w:p>
    <w:p w14:paraId="4C7D7A7B" w14:textId="77777777" w:rsidR="00BE1253" w:rsidRPr="0066379C" w:rsidRDefault="00BE1253" w:rsidP="00BE1253">
      <w:pPr>
        <w:pStyle w:val="Testo2"/>
        <w:rPr>
          <w:rFonts w:ascii="Times New Roman" w:hAnsi="Times New Roman"/>
          <w:sz w:val="20"/>
          <w:lang w:val="en-US"/>
        </w:rPr>
      </w:pPr>
      <w:r w:rsidRPr="0066379C">
        <w:rPr>
          <w:rFonts w:ascii="Times New Roman" w:hAnsi="Times New Roman"/>
          <w:sz w:val="20"/>
          <w:u w:val="single"/>
          <w:lang w:val="en-US"/>
        </w:rPr>
        <w:t>Students</w:t>
      </w:r>
      <w:r w:rsidRPr="0066379C">
        <w:rPr>
          <w:rFonts w:ascii="Times New Roman" w:hAnsi="Times New Roman"/>
          <w:sz w:val="20"/>
          <w:lang w:val="en-US"/>
        </w:rPr>
        <w:t xml:space="preserve"> who develop a business evaluation case in small groups (max. 7 points). They will also take a written test, consisting of 10 multiple-choices (max. 10 points) and two open-ended questions (max. 14 points). </w:t>
      </w:r>
    </w:p>
    <w:p w14:paraId="04D09BBA" w14:textId="77777777" w:rsidR="00BE1253" w:rsidRPr="0066379C" w:rsidRDefault="00BE1253" w:rsidP="00BE1253">
      <w:pPr>
        <w:pStyle w:val="Testo2"/>
        <w:rPr>
          <w:rFonts w:ascii="Times New Roman" w:hAnsi="Times New Roman"/>
          <w:sz w:val="20"/>
          <w:lang w:val="en-US"/>
        </w:rPr>
      </w:pPr>
      <w:r w:rsidRPr="0066379C">
        <w:rPr>
          <w:rFonts w:ascii="Times New Roman" w:hAnsi="Times New Roman"/>
          <w:sz w:val="20"/>
          <w:u w:val="single"/>
          <w:lang w:val="en-US"/>
        </w:rPr>
        <w:t>Other studens</w:t>
      </w:r>
      <w:r w:rsidRPr="0066379C">
        <w:rPr>
          <w:rFonts w:ascii="Times New Roman" w:hAnsi="Times New Roman"/>
          <w:sz w:val="20"/>
          <w:lang w:val="en-US"/>
        </w:rPr>
        <w:t xml:space="preserve"> will only take a written exam consisting of 10 multiple-choices (max. 10 points), two open-ended questions (max. 14 points) and a practical exercise (max. 7 points). </w:t>
      </w:r>
    </w:p>
    <w:p w14:paraId="51F2D648" w14:textId="77777777" w:rsidR="00BE1253" w:rsidRPr="0066379C" w:rsidRDefault="00BE1253" w:rsidP="00BE1253">
      <w:pPr>
        <w:pStyle w:val="Testo2"/>
        <w:rPr>
          <w:rFonts w:ascii="Times New Roman" w:hAnsi="Times New Roman"/>
          <w:sz w:val="20"/>
          <w:lang w:val="en-US"/>
        </w:rPr>
      </w:pPr>
      <w:r w:rsidRPr="0066379C">
        <w:rPr>
          <w:rFonts w:ascii="Times New Roman" w:hAnsi="Times New Roman"/>
          <w:sz w:val="20"/>
          <w:lang w:val="en-US"/>
        </w:rPr>
        <w:t>Relative to the group work, clarity of exposition, quality of power point presentation and accuracy of the excel template developed to support the presentation will be evaluated.</w:t>
      </w:r>
    </w:p>
    <w:p w14:paraId="6C136C55" w14:textId="77777777" w:rsidR="00BE1253" w:rsidRPr="0066379C" w:rsidRDefault="00BE1253" w:rsidP="00BE1253">
      <w:pPr>
        <w:tabs>
          <w:tab w:val="clear" w:pos="284"/>
        </w:tabs>
        <w:spacing w:line="240" w:lineRule="auto"/>
        <w:rPr>
          <w:rFonts w:eastAsiaTheme="minorHAnsi"/>
          <w:color w:val="000000"/>
          <w:szCs w:val="20"/>
          <w:lang w:val="en-US"/>
        </w:rPr>
      </w:pPr>
      <w:r w:rsidRPr="0066379C">
        <w:rPr>
          <w:szCs w:val="20"/>
          <w:lang w:val="en-US"/>
        </w:rPr>
        <w:t xml:space="preserve">For open-end questions, the ability to expound in a rigorous manner and with appropriate terminology, the ability to link the different topics of the program, and critical thinking will be assessed. </w:t>
      </w:r>
      <w:r w:rsidRPr="0066379C">
        <w:rPr>
          <w:kern w:val="20"/>
          <w:szCs w:val="20"/>
          <w:lang w:val="en-US"/>
        </w:rPr>
        <w:t>The final course grade will be on a 30-point scale.</w:t>
      </w:r>
    </w:p>
    <w:bookmarkEnd w:id="0"/>
    <w:p w14:paraId="411B83BF" w14:textId="77777777" w:rsidR="0004321F" w:rsidRPr="0066379C" w:rsidRDefault="0004321F" w:rsidP="0004321F">
      <w:pPr>
        <w:tabs>
          <w:tab w:val="clear" w:pos="284"/>
        </w:tabs>
        <w:spacing w:line="240" w:lineRule="auto"/>
        <w:rPr>
          <w:rFonts w:eastAsiaTheme="minorHAnsi"/>
          <w:color w:val="000000"/>
          <w:szCs w:val="20"/>
          <w:lang w:val="en-US"/>
        </w:rPr>
      </w:pPr>
    </w:p>
    <w:p w14:paraId="2DFDAB30" w14:textId="7FE3A4AE" w:rsidR="00701185" w:rsidRPr="0066379C" w:rsidRDefault="00701185" w:rsidP="00493CBA">
      <w:pPr>
        <w:tabs>
          <w:tab w:val="clear" w:pos="284"/>
        </w:tabs>
        <w:spacing w:line="240" w:lineRule="auto"/>
        <w:rPr>
          <w:rFonts w:eastAsiaTheme="minorHAnsi"/>
          <w:color w:val="000000"/>
          <w:szCs w:val="20"/>
          <w:lang w:val="en-US"/>
        </w:rPr>
      </w:pPr>
      <w:r w:rsidRPr="0066379C">
        <w:rPr>
          <w:b/>
          <w:i/>
          <w:szCs w:val="20"/>
          <w:lang w:val="en-US"/>
        </w:rPr>
        <w:t>NOTES AND PREREQUISITES</w:t>
      </w:r>
      <w:r w:rsidRPr="0066379C">
        <w:rPr>
          <w:rFonts w:eastAsiaTheme="minorHAnsi"/>
          <w:color w:val="000000"/>
          <w:szCs w:val="20"/>
          <w:lang w:val="en-US"/>
        </w:rPr>
        <w:t xml:space="preserve"> </w:t>
      </w:r>
    </w:p>
    <w:p w14:paraId="31839147" w14:textId="4631C6A7" w:rsidR="00493CBA" w:rsidRPr="0066379C" w:rsidRDefault="00493CBA" w:rsidP="00493CBA">
      <w:pPr>
        <w:tabs>
          <w:tab w:val="clear" w:pos="284"/>
        </w:tabs>
        <w:spacing w:line="240" w:lineRule="auto"/>
        <w:rPr>
          <w:rFonts w:eastAsiaTheme="minorHAnsi"/>
          <w:color w:val="000000"/>
          <w:szCs w:val="20"/>
          <w:lang w:val="en-US"/>
        </w:rPr>
      </w:pPr>
      <w:r w:rsidRPr="0066379C">
        <w:rPr>
          <w:rFonts w:eastAsiaTheme="minorHAnsi"/>
          <w:color w:val="000000"/>
          <w:szCs w:val="20"/>
          <w:lang w:val="en-US"/>
        </w:rPr>
        <w:t xml:space="preserve">The student must have </w:t>
      </w:r>
      <w:r w:rsidR="00F70B88" w:rsidRPr="0066379C">
        <w:rPr>
          <w:rFonts w:eastAsiaTheme="minorHAnsi"/>
          <w:color w:val="000000"/>
          <w:szCs w:val="20"/>
          <w:lang w:val="en-US"/>
        </w:rPr>
        <w:t xml:space="preserve">an advance </w:t>
      </w:r>
      <w:r w:rsidRPr="0066379C">
        <w:rPr>
          <w:rFonts w:eastAsiaTheme="minorHAnsi"/>
          <w:color w:val="000000"/>
          <w:szCs w:val="20"/>
          <w:lang w:val="en-US"/>
        </w:rPr>
        <w:t xml:space="preserve">knowledge of </w:t>
      </w:r>
      <w:r w:rsidR="00F70B88" w:rsidRPr="0066379C">
        <w:rPr>
          <w:rFonts w:eastAsiaTheme="minorHAnsi"/>
          <w:color w:val="000000"/>
          <w:szCs w:val="20"/>
          <w:lang w:val="en-US"/>
        </w:rPr>
        <w:t xml:space="preserve">financial analysis and corporate finance. </w:t>
      </w:r>
      <w:proofErr w:type="gramStart"/>
      <w:r w:rsidR="00F70B88" w:rsidRPr="0066379C">
        <w:rPr>
          <w:rFonts w:eastAsiaTheme="minorHAnsi"/>
          <w:color w:val="000000"/>
          <w:szCs w:val="20"/>
          <w:lang w:val="en-US"/>
        </w:rPr>
        <w:t>Therefore</w:t>
      </w:r>
      <w:proofErr w:type="gramEnd"/>
      <w:r w:rsidR="00F70B88" w:rsidRPr="0066379C">
        <w:rPr>
          <w:rFonts w:eastAsiaTheme="minorHAnsi"/>
          <w:color w:val="000000"/>
          <w:szCs w:val="20"/>
          <w:lang w:val="en-US"/>
        </w:rPr>
        <w:t xml:space="preserve"> is recommended a basic knowledge of financial math and spreadsheet skills. </w:t>
      </w:r>
      <w:r w:rsidRPr="0066379C">
        <w:rPr>
          <w:rFonts w:eastAsiaTheme="minorHAnsi"/>
          <w:color w:val="000000"/>
          <w:szCs w:val="20"/>
          <w:lang w:val="en-US"/>
        </w:rPr>
        <w:t>Attendance, even if not compulsory, is strongly recommended.</w:t>
      </w:r>
    </w:p>
    <w:p w14:paraId="1F692F0E" w14:textId="77777777" w:rsidR="00493CBA" w:rsidRPr="0066379C" w:rsidRDefault="00493CBA" w:rsidP="00493CBA">
      <w:pPr>
        <w:tabs>
          <w:tab w:val="clear" w:pos="284"/>
        </w:tabs>
        <w:spacing w:line="240" w:lineRule="auto"/>
        <w:rPr>
          <w:rFonts w:eastAsiaTheme="minorHAnsi"/>
          <w:color w:val="000000"/>
          <w:szCs w:val="20"/>
          <w:lang w:val="en-US"/>
        </w:rPr>
      </w:pPr>
    </w:p>
    <w:p w14:paraId="213EF2E5" w14:textId="77777777" w:rsidR="00493CBA" w:rsidRPr="0066379C" w:rsidRDefault="00493CBA" w:rsidP="00493CBA">
      <w:pPr>
        <w:tabs>
          <w:tab w:val="clear" w:pos="284"/>
        </w:tabs>
        <w:spacing w:line="240" w:lineRule="auto"/>
        <w:rPr>
          <w:rFonts w:eastAsiaTheme="minorHAnsi"/>
          <w:b/>
          <w:i/>
          <w:color w:val="000000"/>
          <w:szCs w:val="20"/>
          <w:lang w:val="en-US"/>
        </w:rPr>
      </w:pPr>
      <w:r w:rsidRPr="0066379C">
        <w:rPr>
          <w:rFonts w:eastAsiaTheme="minorHAnsi"/>
          <w:b/>
          <w:i/>
          <w:color w:val="000000"/>
          <w:szCs w:val="20"/>
          <w:lang w:val="en-US"/>
        </w:rPr>
        <w:t>SCHEDULE AND PLACE OF RECEPTION OF STUDENTS</w:t>
      </w:r>
    </w:p>
    <w:p w14:paraId="7642CF47" w14:textId="2F7119CD" w:rsidR="00493CBA" w:rsidRPr="0066379C" w:rsidRDefault="00493CBA" w:rsidP="00493CBA">
      <w:pPr>
        <w:tabs>
          <w:tab w:val="clear" w:pos="284"/>
        </w:tabs>
        <w:spacing w:line="240" w:lineRule="auto"/>
        <w:rPr>
          <w:rFonts w:eastAsiaTheme="minorHAnsi"/>
          <w:color w:val="000000"/>
          <w:szCs w:val="20"/>
          <w:lang w:val="en-US"/>
        </w:rPr>
      </w:pPr>
      <w:r w:rsidRPr="0066379C">
        <w:rPr>
          <w:rFonts w:eastAsiaTheme="minorHAnsi"/>
          <w:color w:val="000000"/>
          <w:szCs w:val="20"/>
          <w:lang w:val="en-US"/>
        </w:rPr>
        <w:t xml:space="preserve">Office hours are available online on the </w:t>
      </w:r>
      <w:r w:rsidR="00701185" w:rsidRPr="0066379C">
        <w:rPr>
          <w:rFonts w:eastAsiaTheme="minorHAnsi"/>
          <w:color w:val="000000"/>
          <w:szCs w:val="20"/>
          <w:lang w:val="en-US"/>
        </w:rPr>
        <w:t>professor’</w:t>
      </w:r>
      <w:r w:rsidRPr="0066379C">
        <w:rPr>
          <w:rFonts w:eastAsiaTheme="minorHAnsi"/>
          <w:color w:val="000000"/>
          <w:szCs w:val="20"/>
          <w:lang w:val="en-US"/>
        </w:rPr>
        <w:t xml:space="preserve">s personal page, which can be consulted at </w:t>
      </w:r>
      <w:hyperlink r:id="rId11" w:history="1">
        <w:r w:rsidR="001729E3" w:rsidRPr="0066379C">
          <w:rPr>
            <w:rStyle w:val="Collegamentoipertestuale"/>
            <w:rFonts w:eastAsiaTheme="minorHAnsi"/>
            <w:szCs w:val="20"/>
            <w:lang w:val="en-US"/>
          </w:rPr>
          <w:t>http://docenti.unicatt.it/</w:t>
        </w:r>
      </w:hyperlink>
      <w:r w:rsidR="001729E3" w:rsidRPr="0066379C">
        <w:rPr>
          <w:rFonts w:eastAsiaTheme="minorHAnsi"/>
          <w:color w:val="000000"/>
          <w:szCs w:val="20"/>
          <w:lang w:val="en-US"/>
        </w:rPr>
        <w:t xml:space="preserve"> </w:t>
      </w:r>
    </w:p>
    <w:p w14:paraId="7C16CE00" w14:textId="77777777" w:rsidR="00493CBA" w:rsidRPr="0066379C" w:rsidRDefault="00493CBA" w:rsidP="000134A2">
      <w:pPr>
        <w:tabs>
          <w:tab w:val="clear" w:pos="284"/>
        </w:tabs>
        <w:spacing w:line="240" w:lineRule="auto"/>
        <w:jc w:val="left"/>
        <w:rPr>
          <w:rFonts w:eastAsiaTheme="minorHAnsi"/>
          <w:b/>
          <w:color w:val="000000"/>
          <w:szCs w:val="20"/>
          <w:lang w:val="en-US"/>
        </w:rPr>
      </w:pPr>
    </w:p>
    <w:p w14:paraId="03A630CF" w14:textId="77777777" w:rsidR="00493CBA" w:rsidRPr="0066379C" w:rsidRDefault="00493CBA" w:rsidP="000134A2">
      <w:pPr>
        <w:tabs>
          <w:tab w:val="clear" w:pos="284"/>
        </w:tabs>
        <w:spacing w:line="240" w:lineRule="auto"/>
        <w:jc w:val="left"/>
        <w:rPr>
          <w:rFonts w:eastAsiaTheme="minorHAnsi"/>
          <w:b/>
          <w:color w:val="000000"/>
          <w:szCs w:val="20"/>
          <w:lang w:val="en-US"/>
        </w:rPr>
      </w:pPr>
    </w:p>
    <w:p w14:paraId="19AB211C" w14:textId="77777777" w:rsidR="00493CBA" w:rsidRPr="0066379C" w:rsidRDefault="00493CBA" w:rsidP="000134A2">
      <w:pPr>
        <w:tabs>
          <w:tab w:val="clear" w:pos="284"/>
        </w:tabs>
        <w:spacing w:line="240" w:lineRule="auto"/>
        <w:jc w:val="left"/>
        <w:rPr>
          <w:rFonts w:eastAsiaTheme="minorHAnsi"/>
          <w:b/>
          <w:color w:val="000000"/>
          <w:szCs w:val="20"/>
          <w:lang w:val="en-US"/>
        </w:rPr>
      </w:pPr>
    </w:p>
    <w:p w14:paraId="5521F395" w14:textId="77777777" w:rsidR="00493CBA" w:rsidRPr="0066379C" w:rsidRDefault="00493CBA" w:rsidP="000134A2">
      <w:pPr>
        <w:tabs>
          <w:tab w:val="clear" w:pos="284"/>
        </w:tabs>
        <w:spacing w:line="240" w:lineRule="auto"/>
        <w:jc w:val="left"/>
        <w:rPr>
          <w:rFonts w:eastAsiaTheme="minorHAnsi"/>
          <w:b/>
          <w:color w:val="000000"/>
          <w:szCs w:val="20"/>
          <w:lang w:val="en-US"/>
        </w:rPr>
      </w:pPr>
    </w:p>
    <w:sectPr w:rsidR="00493CBA" w:rsidRPr="0066379C" w:rsidSect="004A70A4">
      <w:pgSz w:w="11906" w:h="16838" w:code="9"/>
      <w:pgMar w:top="3515" w:right="2608" w:bottom="3828"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2885" w14:textId="77777777" w:rsidR="00026CDD" w:rsidRDefault="00026CDD" w:rsidP="005C7ED8">
      <w:pPr>
        <w:spacing w:line="240" w:lineRule="auto"/>
      </w:pPr>
      <w:r>
        <w:separator/>
      </w:r>
    </w:p>
  </w:endnote>
  <w:endnote w:type="continuationSeparator" w:id="0">
    <w:p w14:paraId="0F4C60C8" w14:textId="77777777" w:rsidR="00026CDD" w:rsidRDefault="00026CDD"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7990" w14:textId="77777777" w:rsidR="00026CDD" w:rsidRDefault="00026CDD" w:rsidP="005C7ED8">
      <w:pPr>
        <w:spacing w:line="240" w:lineRule="auto"/>
      </w:pPr>
      <w:r>
        <w:separator/>
      </w:r>
    </w:p>
  </w:footnote>
  <w:footnote w:type="continuationSeparator" w:id="0">
    <w:p w14:paraId="4163AC39" w14:textId="77777777" w:rsidR="00026CDD" w:rsidRDefault="00026CDD"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604D"/>
    <w:multiLevelType w:val="hybridMultilevel"/>
    <w:tmpl w:val="44E6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AB3A30"/>
    <w:multiLevelType w:val="hybridMultilevel"/>
    <w:tmpl w:val="FDC04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DA052C"/>
    <w:multiLevelType w:val="hybridMultilevel"/>
    <w:tmpl w:val="1CC86C96"/>
    <w:lvl w:ilvl="0" w:tplc="24124130">
      <w:start w:val="1"/>
      <w:numFmt w:val="bullet"/>
      <w:lvlText w:val="•"/>
      <w:lvlJc w:val="left"/>
      <w:pPr>
        <w:tabs>
          <w:tab w:val="num" w:pos="720"/>
        </w:tabs>
        <w:ind w:left="720" w:hanging="360"/>
      </w:pPr>
      <w:rPr>
        <w:rFonts w:ascii="Arial" w:hAnsi="Arial" w:hint="default"/>
      </w:rPr>
    </w:lvl>
    <w:lvl w:ilvl="1" w:tplc="36A495EC" w:tentative="1">
      <w:start w:val="1"/>
      <w:numFmt w:val="bullet"/>
      <w:lvlText w:val="•"/>
      <w:lvlJc w:val="left"/>
      <w:pPr>
        <w:tabs>
          <w:tab w:val="num" w:pos="1440"/>
        </w:tabs>
        <w:ind w:left="1440" w:hanging="360"/>
      </w:pPr>
      <w:rPr>
        <w:rFonts w:ascii="Arial" w:hAnsi="Arial" w:hint="default"/>
      </w:rPr>
    </w:lvl>
    <w:lvl w:ilvl="2" w:tplc="1F707F0A" w:tentative="1">
      <w:start w:val="1"/>
      <w:numFmt w:val="bullet"/>
      <w:lvlText w:val="•"/>
      <w:lvlJc w:val="left"/>
      <w:pPr>
        <w:tabs>
          <w:tab w:val="num" w:pos="2160"/>
        </w:tabs>
        <w:ind w:left="2160" w:hanging="360"/>
      </w:pPr>
      <w:rPr>
        <w:rFonts w:ascii="Arial" w:hAnsi="Arial" w:hint="default"/>
      </w:rPr>
    </w:lvl>
    <w:lvl w:ilvl="3" w:tplc="446EAA18" w:tentative="1">
      <w:start w:val="1"/>
      <w:numFmt w:val="bullet"/>
      <w:lvlText w:val="•"/>
      <w:lvlJc w:val="left"/>
      <w:pPr>
        <w:tabs>
          <w:tab w:val="num" w:pos="2880"/>
        </w:tabs>
        <w:ind w:left="2880" w:hanging="360"/>
      </w:pPr>
      <w:rPr>
        <w:rFonts w:ascii="Arial" w:hAnsi="Arial" w:hint="default"/>
      </w:rPr>
    </w:lvl>
    <w:lvl w:ilvl="4" w:tplc="F94C8542" w:tentative="1">
      <w:start w:val="1"/>
      <w:numFmt w:val="bullet"/>
      <w:lvlText w:val="•"/>
      <w:lvlJc w:val="left"/>
      <w:pPr>
        <w:tabs>
          <w:tab w:val="num" w:pos="3600"/>
        </w:tabs>
        <w:ind w:left="3600" w:hanging="360"/>
      </w:pPr>
      <w:rPr>
        <w:rFonts w:ascii="Arial" w:hAnsi="Arial" w:hint="default"/>
      </w:rPr>
    </w:lvl>
    <w:lvl w:ilvl="5" w:tplc="BE5C7792" w:tentative="1">
      <w:start w:val="1"/>
      <w:numFmt w:val="bullet"/>
      <w:lvlText w:val="•"/>
      <w:lvlJc w:val="left"/>
      <w:pPr>
        <w:tabs>
          <w:tab w:val="num" w:pos="4320"/>
        </w:tabs>
        <w:ind w:left="4320" w:hanging="360"/>
      </w:pPr>
      <w:rPr>
        <w:rFonts w:ascii="Arial" w:hAnsi="Arial" w:hint="default"/>
      </w:rPr>
    </w:lvl>
    <w:lvl w:ilvl="6" w:tplc="C0644CCE" w:tentative="1">
      <w:start w:val="1"/>
      <w:numFmt w:val="bullet"/>
      <w:lvlText w:val="•"/>
      <w:lvlJc w:val="left"/>
      <w:pPr>
        <w:tabs>
          <w:tab w:val="num" w:pos="5040"/>
        </w:tabs>
        <w:ind w:left="5040" w:hanging="360"/>
      </w:pPr>
      <w:rPr>
        <w:rFonts w:ascii="Arial" w:hAnsi="Arial" w:hint="default"/>
      </w:rPr>
    </w:lvl>
    <w:lvl w:ilvl="7" w:tplc="DDBAB826" w:tentative="1">
      <w:start w:val="1"/>
      <w:numFmt w:val="bullet"/>
      <w:lvlText w:val="•"/>
      <w:lvlJc w:val="left"/>
      <w:pPr>
        <w:tabs>
          <w:tab w:val="num" w:pos="5760"/>
        </w:tabs>
        <w:ind w:left="5760" w:hanging="360"/>
      </w:pPr>
      <w:rPr>
        <w:rFonts w:ascii="Arial" w:hAnsi="Arial" w:hint="default"/>
      </w:rPr>
    </w:lvl>
    <w:lvl w:ilvl="8" w:tplc="309664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03692456">
    <w:abstractNumId w:val="5"/>
  </w:num>
  <w:num w:numId="2" w16cid:durableId="769661793">
    <w:abstractNumId w:val="6"/>
  </w:num>
  <w:num w:numId="3" w16cid:durableId="1618293798">
    <w:abstractNumId w:val="1"/>
  </w:num>
  <w:num w:numId="4" w16cid:durableId="370763425">
    <w:abstractNumId w:val="2"/>
  </w:num>
  <w:num w:numId="5" w16cid:durableId="568542907">
    <w:abstractNumId w:val="3"/>
  </w:num>
  <w:num w:numId="6" w16cid:durableId="1500458658">
    <w:abstractNumId w:val="0"/>
  </w:num>
  <w:num w:numId="7" w16cid:durableId="1942714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DcwMzIwtLQwMzVW0lEKTi0uzszPAykwrgUAix0yAywAAAA="/>
  </w:docVars>
  <w:rsids>
    <w:rsidRoot w:val="005027BA"/>
    <w:rsid w:val="000134A2"/>
    <w:rsid w:val="00026CDD"/>
    <w:rsid w:val="0004321F"/>
    <w:rsid w:val="00057CB7"/>
    <w:rsid w:val="000C1648"/>
    <w:rsid w:val="00166527"/>
    <w:rsid w:val="001729E3"/>
    <w:rsid w:val="00187B99"/>
    <w:rsid w:val="0019280F"/>
    <w:rsid w:val="002014DD"/>
    <w:rsid w:val="00234994"/>
    <w:rsid w:val="002A3CE1"/>
    <w:rsid w:val="002F6CD3"/>
    <w:rsid w:val="00341DB7"/>
    <w:rsid w:val="00360F09"/>
    <w:rsid w:val="00361F55"/>
    <w:rsid w:val="003A4DC8"/>
    <w:rsid w:val="003B273C"/>
    <w:rsid w:val="004472A7"/>
    <w:rsid w:val="00475EF4"/>
    <w:rsid w:val="00493CBA"/>
    <w:rsid w:val="004A70A4"/>
    <w:rsid w:val="004B3C44"/>
    <w:rsid w:val="004B5856"/>
    <w:rsid w:val="004C496C"/>
    <w:rsid w:val="004D1217"/>
    <w:rsid w:val="004D6008"/>
    <w:rsid w:val="005027BA"/>
    <w:rsid w:val="00514034"/>
    <w:rsid w:val="005251C5"/>
    <w:rsid w:val="005268B5"/>
    <w:rsid w:val="00582C72"/>
    <w:rsid w:val="005837B1"/>
    <w:rsid w:val="005C7ED8"/>
    <w:rsid w:val="00640AE1"/>
    <w:rsid w:val="006566AD"/>
    <w:rsid w:val="0066379C"/>
    <w:rsid w:val="006C4ADC"/>
    <w:rsid w:val="006F1772"/>
    <w:rsid w:val="00701185"/>
    <w:rsid w:val="007077E6"/>
    <w:rsid w:val="00747FBF"/>
    <w:rsid w:val="007B67BE"/>
    <w:rsid w:val="00821D8D"/>
    <w:rsid w:val="008A1204"/>
    <w:rsid w:val="00900CCA"/>
    <w:rsid w:val="00906645"/>
    <w:rsid w:val="00921D31"/>
    <w:rsid w:val="00924B77"/>
    <w:rsid w:val="00933D21"/>
    <w:rsid w:val="00940DA2"/>
    <w:rsid w:val="009471AE"/>
    <w:rsid w:val="009E055C"/>
    <w:rsid w:val="00A74F6F"/>
    <w:rsid w:val="00A93B22"/>
    <w:rsid w:val="00A94883"/>
    <w:rsid w:val="00AA0278"/>
    <w:rsid w:val="00AA4DFD"/>
    <w:rsid w:val="00AD7557"/>
    <w:rsid w:val="00B17676"/>
    <w:rsid w:val="00B47B57"/>
    <w:rsid w:val="00B51253"/>
    <w:rsid w:val="00B525CC"/>
    <w:rsid w:val="00BC3DC2"/>
    <w:rsid w:val="00BD37D8"/>
    <w:rsid w:val="00BE1253"/>
    <w:rsid w:val="00BF27AC"/>
    <w:rsid w:val="00C03B44"/>
    <w:rsid w:val="00C60FD9"/>
    <w:rsid w:val="00C6271B"/>
    <w:rsid w:val="00C9427C"/>
    <w:rsid w:val="00CE6A83"/>
    <w:rsid w:val="00CF4412"/>
    <w:rsid w:val="00D27F4F"/>
    <w:rsid w:val="00D404F2"/>
    <w:rsid w:val="00D57EBF"/>
    <w:rsid w:val="00D73443"/>
    <w:rsid w:val="00D86AEB"/>
    <w:rsid w:val="00E607E6"/>
    <w:rsid w:val="00EA5363"/>
    <w:rsid w:val="00ED0D38"/>
    <w:rsid w:val="00EE0D88"/>
    <w:rsid w:val="00EF38A1"/>
    <w:rsid w:val="00F16A26"/>
    <w:rsid w:val="00F70B88"/>
    <w:rsid w:val="00FB7CC8"/>
    <w:rsid w:val="00FC0697"/>
    <w:rsid w:val="00FD2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CD404"/>
  <w15:docId w15:val="{00C941B3-4D89-4ADD-B82A-75687C21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1Carattere">
    <w:name w:val="Testo 1 Carattere"/>
    <w:link w:val="Testo1"/>
    <w:locked/>
    <w:rsid w:val="0019280F"/>
    <w:rPr>
      <w:rFonts w:ascii="Times" w:hAnsi="Times"/>
      <w:noProof/>
      <w:sz w:val="18"/>
    </w:rPr>
  </w:style>
  <w:style w:type="character" w:customStyle="1" w:styleId="Testo2Carattere">
    <w:name w:val="Testo 2 Carattere"/>
    <w:link w:val="Testo2"/>
    <w:locked/>
    <w:rsid w:val="0019280F"/>
    <w:rPr>
      <w:rFonts w:ascii="Times" w:hAnsi="Times"/>
      <w:noProof/>
      <w:sz w:val="18"/>
    </w:rPr>
  </w:style>
  <w:style w:type="paragraph" w:styleId="NormaleWeb">
    <w:name w:val="Normal (Web)"/>
    <w:basedOn w:val="Normale"/>
    <w:uiPriority w:val="99"/>
    <w:semiHidden/>
    <w:unhideWhenUsed/>
    <w:rsid w:val="00361F55"/>
    <w:pPr>
      <w:tabs>
        <w:tab w:val="clear" w:pos="284"/>
      </w:tabs>
      <w:spacing w:line="240" w:lineRule="auto"/>
      <w:jc w:val="left"/>
    </w:pPr>
    <w:rPr>
      <w:rFonts w:eastAsiaTheme="minorHAnsi"/>
      <w:sz w:val="24"/>
    </w:rPr>
  </w:style>
  <w:style w:type="character" w:customStyle="1" w:styleId="apple-converted-space">
    <w:name w:val="apple-converted-space"/>
    <w:basedOn w:val="Carpredefinitoparagrafo"/>
    <w:rsid w:val="00475EF4"/>
  </w:style>
  <w:style w:type="character" w:styleId="Menzionenonrisolta">
    <w:name w:val="Unresolved Mention"/>
    <w:basedOn w:val="Carpredefinitoparagrafo"/>
    <w:uiPriority w:val="99"/>
    <w:semiHidden/>
    <w:unhideWhenUsed/>
    <w:rsid w:val="0017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8428">
      <w:bodyDiv w:val="1"/>
      <w:marLeft w:val="0"/>
      <w:marRight w:val="0"/>
      <w:marTop w:val="0"/>
      <w:marBottom w:val="0"/>
      <w:divBdr>
        <w:top w:val="none" w:sz="0" w:space="0" w:color="auto"/>
        <w:left w:val="none" w:sz="0" w:space="0" w:color="auto"/>
        <w:bottom w:val="none" w:sz="0" w:space="0" w:color="auto"/>
        <w:right w:val="none" w:sz="0" w:space="0" w:color="auto"/>
      </w:divBdr>
      <w:divsChild>
        <w:div w:id="584608831">
          <w:marLeft w:val="547"/>
          <w:marRight w:val="0"/>
          <w:marTop w:val="96"/>
          <w:marBottom w:val="0"/>
          <w:divBdr>
            <w:top w:val="none" w:sz="0" w:space="0" w:color="auto"/>
            <w:left w:val="none" w:sz="0" w:space="0" w:color="auto"/>
            <w:bottom w:val="none" w:sz="0" w:space="0" w:color="auto"/>
            <w:right w:val="none" w:sz="0" w:space="0" w:color="auto"/>
          </w:divBdr>
        </w:div>
        <w:div w:id="1464077576">
          <w:marLeft w:val="547"/>
          <w:marRight w:val="0"/>
          <w:marTop w:val="96"/>
          <w:marBottom w:val="0"/>
          <w:divBdr>
            <w:top w:val="none" w:sz="0" w:space="0" w:color="auto"/>
            <w:left w:val="none" w:sz="0" w:space="0" w:color="auto"/>
            <w:bottom w:val="none" w:sz="0" w:space="0" w:color="auto"/>
            <w:right w:val="none" w:sz="0" w:space="0" w:color="auto"/>
          </w:divBdr>
        </w:div>
        <w:div w:id="10836364">
          <w:marLeft w:val="547"/>
          <w:marRight w:val="0"/>
          <w:marTop w:val="96"/>
          <w:marBottom w:val="0"/>
          <w:divBdr>
            <w:top w:val="none" w:sz="0" w:space="0" w:color="auto"/>
            <w:left w:val="none" w:sz="0" w:space="0" w:color="auto"/>
            <w:bottom w:val="none" w:sz="0" w:space="0" w:color="auto"/>
            <w:right w:val="none" w:sz="0" w:space="0" w:color="auto"/>
          </w:divBdr>
        </w:div>
        <w:div w:id="2109808713">
          <w:marLeft w:val="547"/>
          <w:marRight w:val="0"/>
          <w:marTop w:val="96"/>
          <w:marBottom w:val="0"/>
          <w:divBdr>
            <w:top w:val="none" w:sz="0" w:space="0" w:color="auto"/>
            <w:left w:val="none" w:sz="0" w:space="0" w:color="auto"/>
            <w:bottom w:val="none" w:sz="0" w:space="0" w:color="auto"/>
            <w:right w:val="none" w:sz="0" w:space="0" w:color="auto"/>
          </w:divBdr>
        </w:div>
        <w:div w:id="677078679">
          <w:marLeft w:val="547"/>
          <w:marRight w:val="0"/>
          <w:marTop w:val="96"/>
          <w:marBottom w:val="0"/>
          <w:divBdr>
            <w:top w:val="none" w:sz="0" w:space="0" w:color="auto"/>
            <w:left w:val="none" w:sz="0" w:space="0" w:color="auto"/>
            <w:bottom w:val="none" w:sz="0" w:space="0" w:color="auto"/>
            <w:right w:val="none" w:sz="0" w:space="0" w:color="auto"/>
          </w:divBdr>
        </w:div>
        <w:div w:id="1333678047">
          <w:marLeft w:val="547"/>
          <w:marRight w:val="0"/>
          <w:marTop w:val="96"/>
          <w:marBottom w:val="0"/>
          <w:divBdr>
            <w:top w:val="none" w:sz="0" w:space="0" w:color="auto"/>
            <w:left w:val="none" w:sz="0" w:space="0" w:color="auto"/>
            <w:bottom w:val="none" w:sz="0" w:space="0" w:color="auto"/>
            <w:right w:val="none" w:sz="0" w:space="0" w:color="auto"/>
          </w:divBdr>
        </w:div>
        <w:div w:id="1116753798">
          <w:marLeft w:val="547"/>
          <w:marRight w:val="0"/>
          <w:marTop w:val="96"/>
          <w:marBottom w:val="0"/>
          <w:divBdr>
            <w:top w:val="none" w:sz="0" w:space="0" w:color="auto"/>
            <w:left w:val="none" w:sz="0" w:space="0" w:color="auto"/>
            <w:bottom w:val="none" w:sz="0" w:space="0" w:color="auto"/>
            <w:right w:val="none" w:sz="0" w:space="0" w:color="auto"/>
          </w:divBdr>
        </w:div>
        <w:div w:id="1833567496">
          <w:marLeft w:val="547"/>
          <w:marRight w:val="0"/>
          <w:marTop w:val="96"/>
          <w:marBottom w:val="0"/>
          <w:divBdr>
            <w:top w:val="none" w:sz="0" w:space="0" w:color="auto"/>
            <w:left w:val="none" w:sz="0" w:space="0" w:color="auto"/>
            <w:bottom w:val="none" w:sz="0" w:space="0" w:color="auto"/>
            <w:right w:val="none" w:sz="0" w:space="0" w:color="auto"/>
          </w:divBdr>
        </w:div>
        <w:div w:id="122770911">
          <w:marLeft w:val="547"/>
          <w:marRight w:val="0"/>
          <w:marTop w:val="96"/>
          <w:marBottom w:val="0"/>
          <w:divBdr>
            <w:top w:val="none" w:sz="0" w:space="0" w:color="auto"/>
            <w:left w:val="none" w:sz="0" w:space="0" w:color="auto"/>
            <w:bottom w:val="none" w:sz="0" w:space="0" w:color="auto"/>
            <w:right w:val="none" w:sz="0" w:space="0" w:color="auto"/>
          </w:divBdr>
        </w:div>
        <w:div w:id="1908495453">
          <w:marLeft w:val="547"/>
          <w:marRight w:val="0"/>
          <w:marTop w:val="96"/>
          <w:marBottom w:val="0"/>
          <w:divBdr>
            <w:top w:val="none" w:sz="0" w:space="0" w:color="auto"/>
            <w:left w:val="none" w:sz="0" w:space="0" w:color="auto"/>
            <w:bottom w:val="none" w:sz="0" w:space="0" w:color="auto"/>
            <w:right w:val="none" w:sz="0" w:space="0" w:color="auto"/>
          </w:divBdr>
        </w:div>
      </w:divsChild>
    </w:div>
    <w:div w:id="1015814281">
      <w:bodyDiv w:val="1"/>
      <w:marLeft w:val="0"/>
      <w:marRight w:val="0"/>
      <w:marTop w:val="0"/>
      <w:marBottom w:val="0"/>
      <w:divBdr>
        <w:top w:val="none" w:sz="0" w:space="0" w:color="auto"/>
        <w:left w:val="none" w:sz="0" w:space="0" w:color="auto"/>
        <w:bottom w:val="none" w:sz="0" w:space="0" w:color="auto"/>
        <w:right w:val="none" w:sz="0" w:space="0" w:color="auto"/>
      </w:divBdr>
    </w:div>
    <w:div w:id="15191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Props1.xml><?xml version="1.0" encoding="utf-8"?>
<ds:datastoreItem xmlns:ds="http://schemas.openxmlformats.org/officeDocument/2006/customXml" ds:itemID="{A7820B4F-CE4C-4593-A68F-0E22A1D9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97E62-8BB2-41F8-B5F9-820D72F4D6F1}">
  <ds:schemaRefs>
    <ds:schemaRef ds:uri="http://schemas.microsoft.com/sharepoint/v3/contenttype/forms"/>
  </ds:schemaRefs>
</ds:datastoreItem>
</file>

<file path=customXml/itemProps3.xml><?xml version="1.0" encoding="utf-8"?>
<ds:datastoreItem xmlns:ds="http://schemas.openxmlformats.org/officeDocument/2006/customXml" ds:itemID="{FCBAAC60-8731-4F93-B67A-F1CC696D39A3}">
  <ds:schemaRefs>
    <ds:schemaRef ds:uri="http://schemas.openxmlformats.org/officeDocument/2006/bibliography"/>
  </ds:schemaRefs>
</ds:datastoreItem>
</file>

<file path=customXml/itemProps4.xml><?xml version="1.0" encoding="utf-8"?>
<ds:datastoreItem xmlns:ds="http://schemas.openxmlformats.org/officeDocument/2006/customXml" ds:itemID="{FE7DF371-B3AA-445B-B66F-789C57F9A5CF}">
  <ds:schemaRefs>
    <ds:schemaRef ds:uri="http://schemas.microsoft.com/office/2006/metadata/properties"/>
    <ds:schemaRef ds:uri="http://schemas.microsoft.com/office/infopath/2007/PartnerControls"/>
    <ds:schemaRef ds:uri="e408679e-e4c4-4629-b11b-4474d6e913f6"/>
    <ds:schemaRef ds:uri="bde9ea70-b558-476b-80ed-adb3bdeea2b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2572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13</cp:revision>
  <cp:lastPrinted>2019-04-11T12:44:00Z</cp:lastPrinted>
  <dcterms:created xsi:type="dcterms:W3CDTF">2021-10-13T20:04:00Z</dcterms:created>
  <dcterms:modified xsi:type="dcterms:W3CDTF">2023-06-08T08:30:00Z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y fmtid="{D5CDD505-2E9C-101B-9397-08002B2CF9AE}" pid="3" name="MediaServiceImageTags">
    <vt:lpwstr/>
  </property>
</Properties>
</file>